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Sprechblasentext"/>
        <w:tabs>
          <w:tab w:val="left" w:pos="3514"/>
          <w:tab w:val="left" w:pos="6033"/>
        </w:tabs>
        <w:spacing w:line="360" w:lineRule="exact"/>
        <w:rPr>
          <w:rFonts w:ascii="Arial" w:hAnsi="Arial" w:cs="Arial"/>
          <w:sz w:val="18"/>
          <w:szCs w:val="18"/>
        </w:rPr>
      </w:pPr>
      <w:r>
        <w:rPr>
          <w:noProof/>
        </w:rPr>
        <w:drawing>
          <wp:anchor distT="0" distB="0" distL="114300" distR="114300" simplePos="0" relativeHeight="251658240" behindDoc="0" locked="0" layoutInCell="1" allowOverlap="1">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18"/>
          <w:szCs w:val="18"/>
        </w:rPr>
        <w:tab/>
        <w:t>Mai 2020</w:t>
      </w:r>
      <w:r>
        <w:rPr>
          <w:rFonts w:ascii="Arial" w:hAnsi="Arial" w:cs="Arial"/>
          <w:sz w:val="18"/>
          <w:szCs w:val="18"/>
        </w:rPr>
        <w:tab/>
      </w:r>
    </w:p>
    <w:p>
      <w:pPr>
        <w:spacing w:line="320" w:lineRule="exact"/>
        <w:rPr>
          <w:rFonts w:ascii="Arial" w:hAnsi="Arial" w:cs="Arial"/>
        </w:rPr>
      </w:pPr>
    </w:p>
    <w:p>
      <w:pPr>
        <w:pStyle w:val="berschrift1"/>
        <w:spacing w:after="120" w:line="360" w:lineRule="exact"/>
        <w:rPr>
          <w:rFonts w:ascii="Arial" w:hAnsi="Arial" w:cs="Arial"/>
        </w:rPr>
      </w:pPr>
      <w:r>
        <w:rPr>
          <w:rFonts w:ascii="Arial" w:hAnsi="Arial" w:cs="Arial"/>
        </w:rPr>
        <w:t>Die Software-Nummer 1 der haustec.de Leserwahl!</w:t>
      </w:r>
      <w:bookmarkStart w:id="0" w:name="_GoBack"/>
      <w:bookmarkEnd w:id="0"/>
      <w:r>
        <w:rPr>
          <w:rFonts w:ascii="Arial" w:hAnsi="Arial" w:cs="Arial"/>
        </w:rPr>
        <w:t xml:space="preserve"> </w:t>
      </w:r>
      <w:r>
        <w:rPr>
          <w:rFonts w:ascii="Arial" w:hAnsi="Arial" w:cs="Arial"/>
        </w:rPr>
        <w:br/>
        <w:t>Der „Energieberater 18599 3D PLUS“ von Hottgenroth</w:t>
      </w:r>
    </w:p>
    <w:p>
      <w:pPr>
        <w:spacing w:line="360" w:lineRule="exact"/>
        <w:rPr>
          <w:rFonts w:ascii="Arial" w:hAnsi="Arial" w:cs="Arial"/>
          <w:b/>
          <w:bCs/>
        </w:rPr>
      </w:pPr>
    </w:p>
    <w:p>
      <w:pPr>
        <w:pStyle w:val="Textkrper"/>
        <w:spacing w:after="120" w:line="340" w:lineRule="exact"/>
        <w:rPr>
          <w:rFonts w:ascii="Arial" w:hAnsi="Arial" w:cs="Arial"/>
          <w:bCs/>
          <w:sz w:val="22"/>
          <w:szCs w:val="22"/>
        </w:rPr>
      </w:pPr>
      <w:r>
        <w:rPr>
          <w:rFonts w:ascii="Arial" w:hAnsi="Arial" w:cs="Arial"/>
          <w:bCs/>
          <w:sz w:val="22"/>
          <w:szCs w:val="22"/>
        </w:rPr>
        <w:t xml:space="preserve">Nicht nur Energieberater, sondern auch Planer und Architekten nutzen die Software Energieberater 18599 3D PLUS zur energetischen Planung und Bewertung von Wohngebäuden sowie Nichtwohngebäuden gemäß DIN 4108-6 und 4701-10/12 sowie DIN 18599. Das integrierte CAD-Modul </w:t>
      </w:r>
      <w:proofErr w:type="spellStart"/>
      <w:r>
        <w:rPr>
          <w:rFonts w:ascii="Arial" w:hAnsi="Arial" w:cs="Arial"/>
          <w:bCs/>
          <w:sz w:val="22"/>
          <w:szCs w:val="22"/>
        </w:rPr>
        <w:t>HottCAD</w:t>
      </w:r>
      <w:proofErr w:type="spellEnd"/>
      <w:r>
        <w:rPr>
          <w:rFonts w:ascii="Arial" w:hAnsi="Arial" w:cs="Arial"/>
          <w:bCs/>
          <w:sz w:val="22"/>
          <w:szCs w:val="22"/>
        </w:rPr>
        <w:t xml:space="preserve"> ermöglicht </w:t>
      </w:r>
      <w:r>
        <w:rPr>
          <w:rFonts w:ascii="Arial" w:hAnsi="Arial" w:cs="Arial"/>
          <w:bCs/>
          <w:sz w:val="22"/>
          <w:szCs w:val="22"/>
        </w:rPr>
        <w:t>eine</w:t>
      </w:r>
      <w:r>
        <w:rPr>
          <w:rFonts w:ascii="Arial" w:hAnsi="Arial" w:cs="Arial"/>
          <w:bCs/>
          <w:sz w:val="22"/>
          <w:szCs w:val="22"/>
        </w:rPr>
        <w:t xml:space="preserve"> zügige Gebäudeaufnahme</w:t>
      </w:r>
      <w:r>
        <w:rPr>
          <w:rFonts w:ascii="Arial" w:hAnsi="Arial" w:cs="Arial"/>
          <w:bCs/>
          <w:sz w:val="22"/>
          <w:szCs w:val="22"/>
        </w:rPr>
        <w:t xml:space="preserve">. Das Ergebnis kann sofort in der </w:t>
      </w:r>
      <w:r>
        <w:rPr>
          <w:rFonts w:ascii="Arial" w:hAnsi="Arial" w:cs="Arial"/>
          <w:bCs/>
          <w:sz w:val="22"/>
          <w:szCs w:val="22"/>
        </w:rPr>
        <w:t xml:space="preserve">3D-Ansicht </w:t>
      </w:r>
      <w:r>
        <w:rPr>
          <w:rFonts w:ascii="Arial" w:hAnsi="Arial" w:cs="Arial"/>
          <w:bCs/>
          <w:sz w:val="22"/>
          <w:szCs w:val="22"/>
        </w:rPr>
        <w:t xml:space="preserve">kontrolliert werden. </w:t>
      </w:r>
      <w:r>
        <w:rPr>
          <w:rFonts w:ascii="Arial" w:hAnsi="Arial" w:cs="Arial"/>
          <w:bCs/>
          <w:sz w:val="22"/>
          <w:szCs w:val="22"/>
        </w:rPr>
        <w:t>Die Zuweisung kompl</w:t>
      </w:r>
      <w:r>
        <w:rPr>
          <w:rFonts w:ascii="Arial" w:hAnsi="Arial" w:cs="Arial"/>
          <w:bCs/>
          <w:sz w:val="22"/>
          <w:szCs w:val="22"/>
        </w:rPr>
        <w:t xml:space="preserve">exer Zonierungen erfolgt </w:t>
      </w:r>
      <w:r>
        <w:rPr>
          <w:rFonts w:ascii="Arial" w:hAnsi="Arial" w:cs="Arial"/>
          <w:bCs/>
          <w:sz w:val="22"/>
          <w:szCs w:val="22"/>
        </w:rPr>
        <w:t xml:space="preserve">per Mausklick im 3D-Modell. Aufgenommene Daten fließen </w:t>
      </w:r>
      <w:r>
        <w:rPr>
          <w:rFonts w:ascii="Arial" w:hAnsi="Arial" w:cs="Arial"/>
          <w:bCs/>
          <w:sz w:val="22"/>
          <w:szCs w:val="22"/>
        </w:rPr>
        <w:t>direkt</w:t>
      </w:r>
      <w:r>
        <w:rPr>
          <w:rFonts w:ascii="Arial" w:hAnsi="Arial" w:cs="Arial"/>
          <w:bCs/>
          <w:sz w:val="22"/>
          <w:szCs w:val="22"/>
        </w:rPr>
        <w:t xml:space="preserve"> in die energetische Planung </w:t>
      </w:r>
      <w:r>
        <w:rPr>
          <w:rFonts w:ascii="Arial" w:hAnsi="Arial" w:cs="Arial"/>
          <w:bCs/>
          <w:sz w:val="22"/>
          <w:szCs w:val="22"/>
        </w:rPr>
        <w:t>und Erstellung von erforderlichen Nachweise und Förderanträgen ein:</w:t>
      </w:r>
      <w:r>
        <w:rPr>
          <w:rFonts w:ascii="Arial" w:hAnsi="Arial" w:cs="Arial"/>
          <w:bCs/>
          <w:sz w:val="22"/>
          <w:szCs w:val="22"/>
        </w:rPr>
        <w:t xml:space="preserve"> </w:t>
      </w:r>
      <w:r>
        <w:rPr>
          <w:rFonts w:ascii="Arial" w:hAnsi="Arial" w:cs="Arial"/>
          <w:bCs/>
          <w:sz w:val="22"/>
          <w:szCs w:val="22"/>
        </w:rPr>
        <w:t>KfW-Berechnungen, individuelle Sanierungsfahrpläne (</w:t>
      </w:r>
      <w:proofErr w:type="spellStart"/>
      <w:r>
        <w:rPr>
          <w:rFonts w:ascii="Arial" w:hAnsi="Arial" w:cs="Arial"/>
          <w:bCs/>
          <w:sz w:val="22"/>
          <w:szCs w:val="22"/>
        </w:rPr>
        <w:t>iSFP</w:t>
      </w:r>
      <w:proofErr w:type="spellEnd"/>
      <w:r>
        <w:rPr>
          <w:rFonts w:ascii="Arial" w:hAnsi="Arial" w:cs="Arial"/>
          <w:bCs/>
          <w:sz w:val="22"/>
          <w:szCs w:val="22"/>
        </w:rPr>
        <w:t>) und Energieausweise</w:t>
      </w:r>
      <w:r>
        <w:rPr>
          <w:rFonts w:ascii="Arial" w:hAnsi="Arial" w:cs="Arial"/>
          <w:bCs/>
          <w:sz w:val="22"/>
          <w:szCs w:val="22"/>
        </w:rPr>
        <w:t>. Dabei unterstützt ein umfangreicher Produktkatalog für Baustoff</w:t>
      </w:r>
      <w:r>
        <w:rPr>
          <w:rFonts w:ascii="Arial" w:hAnsi="Arial" w:cs="Arial"/>
          <w:bCs/>
          <w:sz w:val="22"/>
          <w:szCs w:val="22"/>
        </w:rPr>
        <w:t>e, Bauteile und Anlagentechnik.</w:t>
      </w:r>
    </w:p>
    <w:p>
      <w:pPr>
        <w:pStyle w:val="Textkrper"/>
        <w:spacing w:after="120" w:line="340" w:lineRule="exact"/>
        <w:rPr>
          <w:rFonts w:ascii="Arial" w:hAnsi="Arial" w:cs="Arial"/>
          <w:bCs/>
          <w:sz w:val="22"/>
          <w:szCs w:val="22"/>
        </w:rPr>
      </w:pPr>
      <w:r>
        <w:rPr>
          <w:rFonts w:ascii="Arial" w:hAnsi="Arial" w:cs="Arial"/>
          <w:bCs/>
          <w:sz w:val="22"/>
          <w:szCs w:val="22"/>
        </w:rPr>
        <w:t>Das</w:t>
      </w:r>
      <w:r>
        <w:rPr>
          <w:rFonts w:ascii="Arial" w:hAnsi="Arial" w:cs="Arial"/>
          <w:bCs/>
          <w:sz w:val="22"/>
          <w:szCs w:val="22"/>
        </w:rPr>
        <w:t xml:space="preserve"> einheitliche Datenmodell in all</w:t>
      </w:r>
      <w:r>
        <w:rPr>
          <w:rFonts w:ascii="Arial" w:hAnsi="Arial" w:cs="Arial"/>
          <w:bCs/>
          <w:sz w:val="22"/>
          <w:szCs w:val="22"/>
        </w:rPr>
        <w:t>en Programmen von Hottgenroth bildet</w:t>
      </w:r>
      <w:r>
        <w:rPr>
          <w:rFonts w:ascii="Arial" w:hAnsi="Arial" w:cs="Arial"/>
          <w:bCs/>
          <w:sz w:val="22"/>
          <w:szCs w:val="22"/>
        </w:rPr>
        <w:t xml:space="preserve"> die Grundlage für den Datenaustausch der </w:t>
      </w:r>
      <w:r>
        <w:rPr>
          <w:rFonts w:ascii="Arial" w:hAnsi="Arial" w:cs="Arial"/>
          <w:bCs/>
          <w:sz w:val="22"/>
          <w:szCs w:val="22"/>
        </w:rPr>
        <w:t>Anwendungen untereinander: Bereits erfasste</w:t>
      </w:r>
      <w:r>
        <w:rPr>
          <w:rFonts w:ascii="Arial" w:hAnsi="Arial" w:cs="Arial"/>
          <w:bCs/>
          <w:sz w:val="22"/>
          <w:szCs w:val="22"/>
        </w:rPr>
        <w:t xml:space="preserve"> </w:t>
      </w:r>
      <w:r>
        <w:rPr>
          <w:rFonts w:ascii="Arial" w:hAnsi="Arial" w:cs="Arial"/>
          <w:bCs/>
          <w:sz w:val="22"/>
          <w:szCs w:val="22"/>
        </w:rPr>
        <w:t>Projektdaten</w:t>
      </w:r>
      <w:r>
        <w:rPr>
          <w:rFonts w:ascii="Arial" w:hAnsi="Arial" w:cs="Arial"/>
          <w:bCs/>
          <w:sz w:val="22"/>
          <w:szCs w:val="22"/>
        </w:rPr>
        <w:t xml:space="preserve"> können mit </w:t>
      </w:r>
      <w:r>
        <w:rPr>
          <w:rFonts w:ascii="Arial" w:hAnsi="Arial" w:cs="Arial"/>
          <w:bCs/>
          <w:sz w:val="22"/>
          <w:szCs w:val="22"/>
        </w:rPr>
        <w:t>zusätzlichen</w:t>
      </w:r>
      <w:r>
        <w:rPr>
          <w:rFonts w:ascii="Arial" w:hAnsi="Arial" w:cs="Arial"/>
          <w:bCs/>
          <w:sz w:val="22"/>
          <w:szCs w:val="22"/>
        </w:rPr>
        <w:t xml:space="preserve"> </w:t>
      </w:r>
      <w:r>
        <w:rPr>
          <w:rFonts w:ascii="Arial" w:hAnsi="Arial" w:cs="Arial"/>
          <w:bCs/>
          <w:sz w:val="22"/>
          <w:szCs w:val="22"/>
        </w:rPr>
        <w:t>Eingaben</w:t>
      </w:r>
      <w:r>
        <w:rPr>
          <w:rFonts w:ascii="Arial" w:hAnsi="Arial" w:cs="Arial"/>
          <w:bCs/>
          <w:sz w:val="22"/>
          <w:szCs w:val="22"/>
        </w:rPr>
        <w:t xml:space="preserve"> </w:t>
      </w:r>
      <w:r>
        <w:rPr>
          <w:rFonts w:ascii="Arial" w:hAnsi="Arial" w:cs="Arial"/>
          <w:bCs/>
          <w:sz w:val="22"/>
          <w:szCs w:val="22"/>
        </w:rPr>
        <w:t>ergänzt</w:t>
      </w:r>
      <w:r>
        <w:rPr>
          <w:rFonts w:ascii="Arial" w:hAnsi="Arial" w:cs="Arial"/>
          <w:bCs/>
          <w:sz w:val="22"/>
          <w:szCs w:val="22"/>
        </w:rPr>
        <w:t xml:space="preserve"> </w:t>
      </w:r>
      <w:r>
        <w:rPr>
          <w:rFonts w:ascii="Arial" w:hAnsi="Arial" w:cs="Arial"/>
          <w:bCs/>
          <w:sz w:val="22"/>
          <w:szCs w:val="22"/>
        </w:rPr>
        <w:t xml:space="preserve">und für weitere Berechnungen genutzt </w:t>
      </w:r>
      <w:r>
        <w:rPr>
          <w:rFonts w:ascii="Arial" w:hAnsi="Arial" w:cs="Arial"/>
          <w:bCs/>
          <w:sz w:val="22"/>
          <w:szCs w:val="22"/>
        </w:rPr>
        <w:t>werden</w:t>
      </w:r>
      <w:r>
        <w:rPr>
          <w:rFonts w:ascii="Arial" w:hAnsi="Arial" w:cs="Arial"/>
          <w:bCs/>
          <w:sz w:val="22"/>
          <w:szCs w:val="22"/>
        </w:rPr>
        <w:t>: Gebäudesimulationen</w:t>
      </w:r>
      <w:r>
        <w:rPr>
          <w:rFonts w:ascii="Arial" w:hAnsi="Arial" w:cs="Arial"/>
          <w:bCs/>
          <w:sz w:val="22"/>
          <w:szCs w:val="22"/>
        </w:rPr>
        <w:t>,</w:t>
      </w:r>
      <w:r>
        <w:rPr>
          <w:rFonts w:ascii="Arial" w:hAnsi="Arial" w:cs="Arial"/>
          <w:bCs/>
          <w:sz w:val="22"/>
          <w:szCs w:val="22"/>
        </w:rPr>
        <w:t xml:space="preserve"> Nachweis Sommerlicher Wärmeschutz,</w:t>
      </w:r>
      <w:r>
        <w:rPr>
          <w:rFonts w:ascii="Arial" w:hAnsi="Arial" w:cs="Arial"/>
          <w:bCs/>
          <w:sz w:val="22"/>
          <w:szCs w:val="22"/>
        </w:rPr>
        <w:t xml:space="preserve"> Lüftungskonzepte oder hydraulische Abgleich. Zusätzlich wird mit der IFC-Schnittstelle und direkten </w:t>
      </w:r>
      <w:proofErr w:type="spellStart"/>
      <w:r>
        <w:rPr>
          <w:rFonts w:ascii="Arial" w:hAnsi="Arial" w:cs="Arial"/>
          <w:bCs/>
          <w:sz w:val="22"/>
          <w:szCs w:val="22"/>
        </w:rPr>
        <w:t>Plugins</w:t>
      </w:r>
      <w:proofErr w:type="spellEnd"/>
      <w:r>
        <w:rPr>
          <w:rFonts w:ascii="Arial" w:hAnsi="Arial" w:cs="Arial"/>
          <w:bCs/>
          <w:sz w:val="22"/>
          <w:szCs w:val="22"/>
        </w:rPr>
        <w:t xml:space="preserve"> zu </w:t>
      </w:r>
      <w:proofErr w:type="spellStart"/>
      <w:r>
        <w:rPr>
          <w:rFonts w:ascii="Arial" w:hAnsi="Arial" w:cs="Arial"/>
          <w:bCs/>
          <w:sz w:val="22"/>
          <w:szCs w:val="22"/>
        </w:rPr>
        <w:t>Allplan</w:t>
      </w:r>
      <w:proofErr w:type="spellEnd"/>
      <w:r>
        <w:rPr>
          <w:rFonts w:ascii="Arial" w:hAnsi="Arial" w:cs="Arial"/>
          <w:bCs/>
          <w:sz w:val="22"/>
          <w:szCs w:val="22"/>
        </w:rPr>
        <w:t xml:space="preserve"> oder </w:t>
      </w:r>
      <w:proofErr w:type="spellStart"/>
      <w:r>
        <w:rPr>
          <w:rFonts w:ascii="Arial" w:hAnsi="Arial" w:cs="Arial"/>
          <w:bCs/>
          <w:sz w:val="22"/>
          <w:szCs w:val="22"/>
        </w:rPr>
        <w:t>Revit</w:t>
      </w:r>
      <w:proofErr w:type="spellEnd"/>
      <w:r>
        <w:rPr>
          <w:rFonts w:ascii="Arial" w:hAnsi="Arial" w:cs="Arial"/>
          <w:bCs/>
          <w:sz w:val="22"/>
          <w:szCs w:val="22"/>
        </w:rPr>
        <w:t xml:space="preserve"> die Effizienz der Aufgaben im</w:t>
      </w:r>
      <w:r>
        <w:rPr>
          <w:rFonts w:ascii="Arial" w:hAnsi="Arial" w:cs="Arial"/>
          <w:bCs/>
          <w:sz w:val="22"/>
          <w:szCs w:val="22"/>
        </w:rPr>
        <w:t xml:space="preserve"> BIM-Planungsprozess gesteigert: </w:t>
      </w:r>
      <w:r>
        <w:rPr>
          <w:rFonts w:ascii="Arial" w:hAnsi="Arial" w:cs="Arial"/>
          <w:bCs/>
          <w:sz w:val="22"/>
          <w:szCs w:val="22"/>
        </w:rPr>
        <w:t>Energieeffizienz i</w:t>
      </w:r>
      <w:r>
        <w:rPr>
          <w:rFonts w:ascii="Arial" w:hAnsi="Arial" w:cs="Arial"/>
          <w:bCs/>
          <w:sz w:val="22"/>
          <w:szCs w:val="22"/>
        </w:rPr>
        <w:t>st hier ganzheitlich „Programm“!</w:t>
      </w:r>
    </w:p>
    <w:p>
      <w:pPr>
        <w:pStyle w:val="Textkrper"/>
        <w:spacing w:after="120" w:line="340" w:lineRule="exact"/>
        <w:rPr>
          <w:rFonts w:ascii="Arial" w:hAnsi="Arial" w:cs="Arial"/>
          <w:bCs/>
          <w:sz w:val="22"/>
          <w:szCs w:val="22"/>
        </w:rPr>
      </w:pPr>
      <w:r>
        <w:rPr>
          <w:rFonts w:ascii="Arial" w:hAnsi="Arial" w:cs="Arial"/>
          <w:bCs/>
          <w:sz w:val="22"/>
          <w:szCs w:val="22"/>
        </w:rPr>
        <w:t>Mit den umfangreichen Funktionen geht der „Energieberater 18599 3D PLUS“ über die Erstellung von Nachweisen hinaus. Er hilft bei der ganzheitlichen Verbesserung der Energieeffizienz im Neubau und im Gebäudebestand, z.B. bei der Erstellung von Sanierungskonzepten einschließlich Wirtschaftlichkeitsberechnungen. D</w:t>
      </w:r>
      <w:r>
        <w:rPr>
          <w:rFonts w:ascii="Arial" w:hAnsi="Arial" w:cs="Arial"/>
          <w:bCs/>
          <w:sz w:val="22"/>
          <w:szCs w:val="22"/>
        </w:rPr>
        <w:t>as</w:t>
      </w:r>
      <w:r>
        <w:rPr>
          <w:rFonts w:ascii="Arial" w:hAnsi="Arial" w:cs="Arial"/>
          <w:bCs/>
          <w:sz w:val="22"/>
          <w:szCs w:val="22"/>
        </w:rPr>
        <w:t xml:space="preserve"> wird auch von den Anwendern honoriert – kein</w:t>
      </w:r>
      <w:r>
        <w:rPr>
          <w:rFonts w:ascii="Arial" w:hAnsi="Arial" w:cs="Arial"/>
          <w:bCs/>
          <w:sz w:val="22"/>
          <w:szCs w:val="22"/>
        </w:rPr>
        <w:t>e andere Energieberatungssoftware</w:t>
      </w:r>
      <w:r>
        <w:rPr>
          <w:rFonts w:ascii="Arial" w:hAnsi="Arial" w:cs="Arial"/>
          <w:bCs/>
          <w:sz w:val="22"/>
          <w:szCs w:val="22"/>
        </w:rPr>
        <w:t xml:space="preserve"> wird so häufig eingesetzt und ist nun auch Produkt des Jahres der haustec.de Leserwahl 2020!</w:t>
      </w:r>
    </w:p>
    <w:p>
      <w:pPr>
        <w:pStyle w:val="Textkrper"/>
        <w:spacing w:after="120" w:line="340" w:lineRule="exact"/>
        <w:rPr>
          <w:rFonts w:ascii="Arial" w:hAnsi="Arial" w:cs="Arial"/>
          <w:bCs/>
          <w:sz w:val="22"/>
          <w:szCs w:val="22"/>
        </w:rPr>
      </w:pPr>
      <w:r>
        <w:rPr>
          <w:rFonts w:ascii="Arial" w:hAnsi="Arial" w:cs="Arial"/>
          <w:bCs/>
          <w:sz w:val="22"/>
          <w:szCs w:val="22"/>
        </w:rPr>
        <w:br w:type="column"/>
      </w:r>
    </w:p>
    <w:p>
      <w:pPr>
        <w:pStyle w:val="Textkrper"/>
        <w:spacing w:after="120" w:line="340" w:lineRule="exact"/>
        <w:rPr>
          <w:rFonts w:ascii="Arial" w:hAnsi="Arial" w:cs="Arial"/>
          <w:bCs/>
          <w:sz w:val="22"/>
          <w:szCs w:val="22"/>
        </w:rPr>
      </w:pPr>
      <w:r>
        <w:rPr>
          <w:rFonts w:ascii="Arial" w:hAnsi="Arial" w:cs="Arial"/>
          <w:bCs/>
          <w:sz w:val="22"/>
          <w:szCs w:val="22"/>
        </w:rPr>
        <w:t>Bildunterschrift:</w:t>
      </w:r>
    </w:p>
    <w:p>
      <w:pPr>
        <w:pStyle w:val="Textkrper"/>
        <w:spacing w:after="120" w:line="340" w:lineRule="exact"/>
        <w:jc w:val="left"/>
        <w:rPr>
          <w:rFonts w:ascii="Arial" w:hAnsi="Arial" w:cs="Arial"/>
          <w:bCs/>
          <w:sz w:val="22"/>
          <w:szCs w:val="22"/>
        </w:rPr>
      </w:pPr>
      <w:r>
        <w:rPr>
          <w:rFonts w:ascii="Arial" w:hAnsi="Arial" w:cs="Arial"/>
          <w:bCs/>
          <w:sz w:val="22"/>
          <w:szCs w:val="22"/>
        </w:rPr>
        <w:t>Der „Energieberater 18599 3D PLUS“ unterstützt die energetische Planung und Bewertung von Wohn- sowie Nichtwohngebäuden inklusive Erstellung der entsprechenden Energiebedarfsausweise und weiterer Nachweise für die KfW Bank.</w:t>
      </w:r>
    </w:p>
    <w:p>
      <w:pPr>
        <w:pStyle w:val="Textkrper"/>
        <w:spacing w:after="120" w:line="340" w:lineRule="exact"/>
        <w:jc w:val="left"/>
        <w:rPr>
          <w:rFonts w:ascii="Arial" w:hAnsi="Arial" w:cs="Arial"/>
          <w:sz w:val="22"/>
          <w:szCs w:val="22"/>
        </w:rPr>
      </w:pPr>
      <w:r>
        <w:rPr>
          <w:rFonts w:ascii="Arial" w:hAnsi="Arial" w:cs="Arial"/>
          <w:sz w:val="22"/>
          <w:szCs w:val="22"/>
        </w:rPr>
        <w:br/>
        <w:t>Abdruck frei – Beleg erbeten, Foto: Hottgenroth, Köln</w:t>
      </w:r>
    </w:p>
    <w:p>
      <w:pPr>
        <w:pStyle w:val="Textkrper"/>
        <w:spacing w:after="120" w:line="340" w:lineRule="exact"/>
        <w:jc w:val="left"/>
        <w:rPr>
          <w:rFonts w:ascii="Arial" w:hAnsi="Arial" w:cs="Arial"/>
          <w:sz w:val="22"/>
          <w:szCs w:val="22"/>
        </w:rPr>
      </w:pPr>
    </w:p>
    <w:p>
      <w:pPr>
        <w:pStyle w:val="Textkrper"/>
        <w:spacing w:after="120" w:line="340" w:lineRule="exact"/>
        <w:jc w:val="left"/>
        <w:rPr>
          <w:rFonts w:ascii="Arial" w:hAnsi="Arial" w:cs="Arial"/>
        </w:rPr>
      </w:pPr>
      <w:r>
        <w:rPr>
          <w:rFonts w:ascii="Arial" w:hAnsi="Arial" w:cs="Arial"/>
          <w:sz w:val="22"/>
          <w:szCs w:val="22"/>
        </w:rPr>
        <w:t>Hottgenroth Software GmbH &amp; Co. KG</w:t>
      </w:r>
      <w:r>
        <w:rPr>
          <w:rFonts w:ascii="Arial" w:hAnsi="Arial" w:cs="Arial"/>
          <w:sz w:val="22"/>
          <w:szCs w:val="22"/>
        </w:rPr>
        <w:br/>
        <w:t>Von-</w:t>
      </w:r>
      <w:proofErr w:type="spellStart"/>
      <w:r>
        <w:rPr>
          <w:rFonts w:ascii="Arial" w:hAnsi="Arial" w:cs="Arial"/>
          <w:sz w:val="22"/>
          <w:szCs w:val="22"/>
        </w:rPr>
        <w:t>Hünefeld</w:t>
      </w:r>
      <w:proofErr w:type="spellEnd"/>
      <w:r>
        <w:rPr>
          <w:rFonts w:ascii="Arial" w:hAnsi="Arial" w:cs="Arial"/>
          <w:sz w:val="22"/>
          <w:szCs w:val="22"/>
        </w:rPr>
        <w:t xml:space="preserve">-Straße 3 </w:t>
      </w:r>
      <w:r>
        <w:rPr>
          <w:rFonts w:ascii="Arial" w:hAnsi="Arial" w:cs="Arial"/>
          <w:sz w:val="22"/>
          <w:szCs w:val="22"/>
        </w:rPr>
        <w:br/>
        <w:t>50829 Köln</w:t>
      </w:r>
      <w:r>
        <w:rPr>
          <w:rFonts w:ascii="Arial" w:hAnsi="Arial" w:cs="Arial"/>
        </w:rPr>
        <w:br/>
        <w:t>Tel.:</w:t>
      </w:r>
      <w:r>
        <w:rPr>
          <w:rFonts w:ascii="Arial" w:hAnsi="Arial" w:cs="Arial"/>
        </w:rPr>
        <w:tab/>
        <w:t xml:space="preserve">+49(0)221.70 99 33 40 </w:t>
      </w:r>
      <w:r>
        <w:rPr>
          <w:rFonts w:ascii="Arial" w:hAnsi="Arial" w:cs="Arial"/>
        </w:rPr>
        <w:br/>
        <w:t xml:space="preserve">E-Mail: </w:t>
      </w:r>
      <w:hyperlink r:id="rId7" w:history="1">
        <w:r>
          <w:rPr>
            <w:rStyle w:val="Hyperlink"/>
            <w:rFonts w:ascii="Arial" w:hAnsi="Arial" w:cs="Arial"/>
          </w:rPr>
          <w:t>vertrieb@hottgenroth.de</w:t>
        </w:r>
      </w:hyperlink>
      <w:r>
        <w:rPr>
          <w:rFonts w:ascii="Arial" w:hAnsi="Arial" w:cs="Arial"/>
        </w:rPr>
        <w:br/>
        <w:t>www.hottgenroth.de</w:t>
      </w:r>
    </w:p>
    <w:sectPr>
      <w:headerReference w:type="default" r:id="rId8"/>
      <w:footerReference w:type="first" r:id="rId9"/>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uzeile"/>
      <w:tabs>
        <w:tab w:val="clear" w:pos="4536"/>
        <w:tab w:val="clear" w:pos="9072"/>
        <w:tab w:val="left" w:pos="14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32874C0B-B9A5-43E2-A4C1-F26C1DCD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semiHidden/>
    <w:unhideWhenUse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vertrieb@hottgenroth.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2077</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2402</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cp:lastModifiedBy>Martina Stork</cp:lastModifiedBy>
  <cp:revision>9</cp:revision>
  <cp:lastPrinted>2019-07-10T10:12:00Z</cp:lastPrinted>
  <dcterms:created xsi:type="dcterms:W3CDTF">2020-05-15T10:20:00Z</dcterms:created>
  <dcterms:modified xsi:type="dcterms:W3CDTF">2020-05-15T13:51:00Z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